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9B0E7A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E13036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983033">
            <w:rPr>
              <w:rFonts w:ascii="Times New Roman" w:eastAsia="Arial Unicode MS" w:hAnsi="Times New Roman" w:cs="Times New Roman"/>
              <w:sz w:val="56"/>
              <w:szCs w:val="56"/>
            </w:rPr>
            <w:t>Республиканского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9B0E7A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2448F5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bookmarkStart w:id="0" w:name="_GoBack"/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anchorId="309A4F19" wp14:editId="2AD93B10">
                <wp:simplePos x="0" y="0"/>
                <wp:positionH relativeFrom="margin">
                  <wp:posOffset>-727406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0" b="0"/>
                <wp:wrapThrough wrapText="bothSides">
                  <wp:wrapPolygon edited="0">
                    <wp:start x="0" y="0"/>
                    <wp:lineTo x="0" y="21510"/>
                    <wp:lineTo x="21510" y="21510"/>
                    <wp:lineTo x="21510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951482" w:rsidRPr="00951482" w:rsidRDefault="00951482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r w:rsidRPr="00951482">
            <w:fldChar w:fldCharType="begin"/>
          </w:r>
          <w:r w:rsidRPr="00951482">
            <w:instrText xml:space="preserve"> TOC \o "1-3" \h \z \u </w:instrText>
          </w:r>
          <w:r w:rsidRPr="00951482">
            <w:fldChar w:fldCharType="separate"/>
          </w:r>
          <w:hyperlink w:anchor="_Toc507427594" w:history="1">
            <w:r w:rsidRPr="00951482">
              <w:rPr>
                <w:rStyle w:val="ac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951482">
              <w:rPr>
                <w:noProof/>
                <w:webHidden/>
                <w:sz w:val="20"/>
                <w:szCs w:val="20"/>
              </w:rPr>
              <w:tab/>
            </w:r>
            <w:r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Pr="00951482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951482">
              <w:rPr>
                <w:noProof/>
                <w:webHidden/>
                <w:sz w:val="20"/>
                <w:szCs w:val="20"/>
              </w:rPr>
            </w:r>
            <w:r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3</w:t>
            </w:r>
            <w:r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AC294D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hyperlink w:anchor="_Toc507427595" w:history="1">
            <w:r w:rsidR="00951482" w:rsidRPr="00951482">
              <w:rPr>
                <w:rStyle w:val="ac"/>
                <w:noProof/>
                <w:sz w:val="20"/>
                <w:szCs w:val="20"/>
              </w:rPr>
              <w:t xml:space="preserve">Инструкция по охране труда для участников </w:t>
            </w:r>
            <w:r w:rsidR="00951482" w:rsidRPr="00951482">
              <w:rPr>
                <w:noProof/>
                <w:webHidden/>
                <w:sz w:val="20"/>
                <w:szCs w:val="20"/>
              </w:rPr>
              <w:tab/>
            </w:r>
            <w:r w:rsidR="002448F5">
              <w:rPr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AC294D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6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3</w:t>
            </w:r>
          </w:hyperlink>
        </w:p>
        <w:p w:rsidR="00951482" w:rsidRPr="00951482" w:rsidRDefault="00AC294D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7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6</w:t>
            </w:r>
          </w:hyperlink>
        </w:p>
        <w:p w:rsidR="00951482" w:rsidRPr="00951482" w:rsidRDefault="00AC294D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8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9</w:t>
            </w:r>
          </w:hyperlink>
        </w:p>
        <w:p w:rsidR="00951482" w:rsidRPr="00951482" w:rsidRDefault="00AC294D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9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12</w:t>
            </w:r>
          </w:hyperlink>
        </w:p>
        <w:p w:rsidR="00951482" w:rsidRPr="00951482" w:rsidRDefault="00AC294D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600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2448F5">
              <w:rPr>
                <w:i/>
                <w:noProof/>
                <w:webHidden/>
                <w:sz w:val="20"/>
                <w:szCs w:val="20"/>
              </w:rPr>
              <w:t>13</w:t>
            </w:r>
          </w:hyperlink>
        </w:p>
        <w:p w:rsidR="00951482" w:rsidRPr="00951482" w:rsidRDefault="00951482" w:rsidP="00951482">
          <w:pPr>
            <w:spacing w:line="360" w:lineRule="auto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  <w:b/>
              <w:bCs/>
            </w:rPr>
            <w:fldChar w:fldCharType="end"/>
          </w:r>
        </w:p>
        <w:p w:rsidR="00951482" w:rsidRPr="00951482" w:rsidRDefault="00951482" w:rsidP="00951482">
          <w:pPr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4"/>
          <w:r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2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1.3. </w:t>
          </w:r>
          <w:r w:rsidR="00983033" w:rsidRPr="00951482">
            <w:rPr>
              <w:rFonts w:ascii="Times New Roman" w:hAnsi="Times New Roman" w:cs="Times New Roman"/>
            </w:rPr>
            <w:t>Участник возрастной</w:t>
          </w:r>
          <w:r w:rsidRPr="00951482">
            <w:rPr>
              <w:rFonts w:ascii="Times New Roman" w:hAnsi="Times New Roman" w:cs="Times New Roman"/>
            </w:rPr>
            <w:t xml:space="preserve"> группы </w:t>
          </w:r>
          <w:r>
            <w:rPr>
              <w:rFonts w:ascii="Times New Roman" w:hAnsi="Times New Roman" w:cs="Times New Roman"/>
            </w:rPr>
            <w:t>6-7;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>,</w:t>
          </w:r>
          <w:r w:rsidR="00E13036" w:rsidRPr="00E13036">
            <w:rPr>
              <w:rFonts w:ascii="Times New Roman" w:hAnsi="Times New Roman" w:cs="Times New Roman"/>
            </w:rPr>
            <w:t>12-14</w:t>
          </w:r>
          <w:r w:rsidR="00136921">
            <w:rPr>
              <w:rFonts w:ascii="Times New Roman" w:hAnsi="Times New Roman" w:cs="Times New Roman"/>
            </w:rPr>
            <w:t xml:space="preserve"> </w:t>
          </w:r>
          <w:r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Шенуа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Гастроемкость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="00E13036">
            <w:rPr>
              <w:rFonts w:ascii="Times New Roman" w:hAnsi="Times New Roman" w:cs="Times New Roman"/>
            </w:rPr>
            <w:t xml:space="preserve">, </w:t>
          </w:r>
          <w:r w:rsidR="00E13036" w:rsidRPr="00E13036">
            <w:rPr>
              <w:rFonts w:ascii="Times New Roman" w:hAnsi="Times New Roman" w:cs="Times New Roman"/>
            </w:rPr>
            <w:t>12-14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lastRenderedPageBreak/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lastRenderedPageBreak/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 xml:space="preserve">и исправность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приборов, влияющих на показания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AC294D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lastRenderedPageBreak/>
                  <w:t xml:space="preserve">- удаление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снеговой ”шубы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lastRenderedPageBreak/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продуктов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 xml:space="preserve"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</w:t>
                </w:r>
                <w:proofErr w:type="spellStart"/>
                <w:r w:rsidRPr="00951482">
                  <w:rPr>
                    <w:rFonts w:cs="Times New Roman"/>
                  </w:rPr>
                  <w:t>иземкости</w:t>
                </w:r>
                <w:proofErr w:type="spellEnd"/>
                <w:r w:rsidRPr="00951482">
                  <w:rPr>
                    <w:rFonts w:cs="Times New Roman"/>
                  </w:rPr>
                  <w:t xml:space="preserve">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</w:t>
                </w:r>
                <w:proofErr w:type="spellStart"/>
                <w:r w:rsidRPr="00951482">
                  <w:rPr>
                    <w:rFonts w:cs="Times New Roman"/>
                  </w:rPr>
                  <w:t>видапродуктов</w:t>
                </w:r>
                <w:proofErr w:type="spellEnd"/>
                <w:r w:rsidRPr="00951482">
                  <w:rPr>
                    <w:rFonts w:cs="Times New Roman"/>
                  </w:rPr>
                  <w:t>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 xml:space="preserve">с плиты. Дайте продуктам остыть, не смешивайте продукты </w:t>
                </w:r>
                <w:proofErr w:type="gram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 жидкости</w:t>
                </w:r>
                <w:proofErr w:type="gram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особотвердых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продуктов. При работе с насадкой - блендером и насадкой-венчиком не используйте в качестве емкости чашу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lastRenderedPageBreak/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включать агрегат при отсутствии защитного заземления или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зануления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lastRenderedPageBreak/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lastRenderedPageBreak/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использовать для вскрытия тары специально предназначенный инструмент (гвоздодеры, клещи,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сбойники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>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оставлять нож во время перерыва в работе в обрабатываемом сырье или на столе 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опираться на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при правке ножа. Править нож о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footerReference w:type="defaul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94D" w:rsidRDefault="00AC294D" w:rsidP="004D6E23">
      <w:pPr>
        <w:spacing w:after="0" w:line="240" w:lineRule="auto"/>
      </w:pPr>
      <w:r>
        <w:separator/>
      </w:r>
    </w:p>
  </w:endnote>
  <w:endnote w:type="continuationSeparator" w:id="0">
    <w:p w:rsidR="00AC294D" w:rsidRDefault="00AC294D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2448F5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8F5" w:rsidRDefault="002448F5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па 37" o:spid="_x0000_s1026" style="position:absolute;margin-left:416.8pt;margin-top:0;width:468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2448F5" w:rsidRDefault="002448F5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448F5" w:rsidRDefault="002448F5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73DA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1312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2448F5" w:rsidRDefault="002448F5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73DA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5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94D" w:rsidRDefault="00AC294D" w:rsidP="004D6E23">
      <w:pPr>
        <w:spacing w:after="0" w:line="240" w:lineRule="auto"/>
      </w:pPr>
      <w:r>
        <w:separator/>
      </w:r>
    </w:p>
  </w:footnote>
  <w:footnote w:type="continuationSeparator" w:id="0">
    <w:p w:rsidR="00AC294D" w:rsidRDefault="00AC294D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margin">
            <wp:align>right</wp:align>
          </wp:positionH>
          <wp:positionV relativeFrom="paragraph">
            <wp:posOffset>71755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Pr="00136921" w:rsidRDefault="00E13036" w:rsidP="00136921">
    <w:pPr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noProof/>
      </w:rPr>
      <w:t>I</w:t>
    </w:r>
    <w:r>
      <w:rPr>
        <w:rFonts w:ascii="Times New Roman" w:hAnsi="Times New Roman" w:cs="Times New Roman"/>
        <w:noProof/>
        <w:lang w:val="en-US"/>
      </w:rPr>
      <w:t>I</w:t>
    </w:r>
    <w:r w:rsidRPr="00E13036">
      <w:rPr>
        <w:rFonts w:ascii="Times New Roman" w:hAnsi="Times New Roman" w:cs="Times New Roman"/>
        <w:noProof/>
      </w:rPr>
      <w:t xml:space="preserve"> </w:t>
    </w:r>
    <w:r w:rsidR="00983033">
      <w:rPr>
        <w:rFonts w:ascii="Times New Roman" w:hAnsi="Times New Roman" w:cs="Times New Roman"/>
        <w:noProof/>
      </w:rPr>
      <w:t>Республиканский</w:t>
    </w:r>
    <w:r w:rsidR="002448F5">
      <w:rPr>
        <w:rFonts w:ascii="Times New Roman" w:hAnsi="Times New Roman" w:cs="Times New Roman"/>
        <w:noProof/>
      </w:rPr>
      <w:t xml:space="preserve"> детский чемпионат </w:t>
    </w:r>
    <w:r w:rsidR="00136921" w:rsidRPr="00136921">
      <w:rPr>
        <w:rFonts w:ascii="Times New Roman" w:hAnsi="Times New Roman" w:cs="Times New Roman"/>
        <w:noProof/>
      </w:rPr>
      <w:t>«</w:t>
    </w:r>
    <w:r w:rsidR="00136921" w:rsidRPr="00136921">
      <w:rPr>
        <w:rFonts w:ascii="Times New Roman" w:hAnsi="Times New Roman" w:cs="Times New Roman"/>
        <w:noProof/>
        <w:lang w:val="en-US"/>
      </w:rPr>
      <w:t>Kid</w:t>
    </w:r>
    <w:r w:rsidR="00136921" w:rsidRPr="00136921">
      <w:rPr>
        <w:rFonts w:ascii="Times New Roman" w:hAnsi="Times New Roman" w:cs="Times New Roman"/>
        <w:noProof/>
      </w:rPr>
      <w:t xml:space="preserve">Skills» </w:t>
    </w:r>
  </w:p>
  <w:p w:rsidR="002448F5" w:rsidRPr="002448F5" w:rsidRDefault="002448F5" w:rsidP="002448F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2448F5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2448F5" w:rsidRPr="002448F5" w:rsidRDefault="002448F5" w:rsidP="002448F5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rFonts w:ascii="Calibri" w:eastAsia="Calibri" w:hAnsi="Calibri" w:cs="Calibri"/>
        <w:color w:val="000000"/>
        <w:lang w:eastAsia="zh-CN"/>
      </w:rPr>
    </w:pPr>
  </w:p>
  <w:p w:rsidR="00951482" w:rsidRDefault="009514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1C2026"/>
    <w:rsid w:val="00205E8B"/>
    <w:rsid w:val="002108C7"/>
    <w:rsid w:val="002448F5"/>
    <w:rsid w:val="00250F13"/>
    <w:rsid w:val="00286985"/>
    <w:rsid w:val="00295466"/>
    <w:rsid w:val="002C57E1"/>
    <w:rsid w:val="002D766E"/>
    <w:rsid w:val="003E7D31"/>
    <w:rsid w:val="00435F60"/>
    <w:rsid w:val="004B7A36"/>
    <w:rsid w:val="004D6E23"/>
    <w:rsid w:val="00611233"/>
    <w:rsid w:val="00683339"/>
    <w:rsid w:val="0078273F"/>
    <w:rsid w:val="00823846"/>
    <w:rsid w:val="008572BC"/>
    <w:rsid w:val="008623C5"/>
    <w:rsid w:val="00903CD4"/>
    <w:rsid w:val="0091334D"/>
    <w:rsid w:val="00951482"/>
    <w:rsid w:val="00963FF4"/>
    <w:rsid w:val="00983033"/>
    <w:rsid w:val="009B0E7A"/>
    <w:rsid w:val="009D5F75"/>
    <w:rsid w:val="009E03B5"/>
    <w:rsid w:val="00A03E61"/>
    <w:rsid w:val="00A07721"/>
    <w:rsid w:val="00A57362"/>
    <w:rsid w:val="00AC294D"/>
    <w:rsid w:val="00B3422C"/>
    <w:rsid w:val="00B52FF9"/>
    <w:rsid w:val="00B63875"/>
    <w:rsid w:val="00C100CE"/>
    <w:rsid w:val="00C73DAA"/>
    <w:rsid w:val="00D2456A"/>
    <w:rsid w:val="00E13036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9</cp:revision>
  <cp:lastPrinted>2020-05-22T08:42:00Z</cp:lastPrinted>
  <dcterms:created xsi:type="dcterms:W3CDTF">2020-10-12T05:45:00Z</dcterms:created>
  <dcterms:modified xsi:type="dcterms:W3CDTF">2021-10-07T05:40:00Z</dcterms:modified>
</cp:coreProperties>
</file>