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49CCEB78" w:rsidR="00903CD4" w:rsidRPr="00663753" w:rsidRDefault="0023724D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1 Р</w:t>
          </w:r>
          <w:r w:rsidR="00663753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66375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66375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  <w:bookmarkStart w:id="0" w:name="_GoBack"/>
          <w:bookmarkEnd w:id="0"/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1" w:name="__RefHeading___Toc507427594" w:displacedByCustomXml="next"/>
    <w:bookmarkEnd w:id="1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2" w:name="__RefHeading___Toc507427596"/>
          <w:bookmarkEnd w:id="2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3488A00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23724D">
            <w:rPr>
              <w:rFonts w:ascii="Times New Roman" w:hAnsi="Times New Roman" w:cs="Times New Roman"/>
              <w:b/>
              <w:bCs/>
              <w:color w:val="000000"/>
            </w:rPr>
            <w:t>8-9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5A78C7C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23724D">
            <w:rPr>
              <w:rFonts w:ascii="Times New Roman" w:hAnsi="Times New Roman" w:cs="Times New Roman"/>
            </w:rPr>
            <w:t>8-9</w:t>
          </w:r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7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4" w:name="__RefHeading___Toc507427598"/>
          <w:bookmarkEnd w:id="4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663753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0F45C" w14:textId="77777777" w:rsidR="00671BB7" w:rsidRDefault="00671BB7" w:rsidP="004D6E23">
      <w:pPr>
        <w:spacing w:after="0" w:line="240" w:lineRule="auto"/>
      </w:pPr>
      <w:r>
        <w:separator/>
      </w:r>
    </w:p>
  </w:endnote>
  <w:endnote w:type="continuationSeparator" w:id="0">
    <w:p w14:paraId="525A63B4" w14:textId="77777777" w:rsidR="00671BB7" w:rsidRDefault="00671BB7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F350A" w14:textId="77777777" w:rsidR="00671BB7" w:rsidRDefault="00671BB7" w:rsidP="004D6E23">
      <w:pPr>
        <w:spacing w:after="0" w:line="240" w:lineRule="auto"/>
      </w:pPr>
      <w:r>
        <w:separator/>
      </w:r>
    </w:p>
  </w:footnote>
  <w:footnote w:type="continuationSeparator" w:id="0">
    <w:p w14:paraId="56DBBB49" w14:textId="77777777" w:rsidR="00671BB7" w:rsidRDefault="00671BB7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21F1512C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FF2">
      <w:rPr>
        <w:rFonts w:ascii="Times New Roman" w:hAnsi="Times New Roman" w:cs="Times New Roman"/>
        <w:noProof/>
      </w:rPr>
      <w:t>I Р</w:t>
    </w:r>
    <w:r w:rsidR="00663753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3724D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D58A9"/>
    <w:rsid w:val="00663753"/>
    <w:rsid w:val="00671BB7"/>
    <w:rsid w:val="00683339"/>
    <w:rsid w:val="006A1E02"/>
    <w:rsid w:val="006B0F83"/>
    <w:rsid w:val="007A5203"/>
    <w:rsid w:val="007F73BE"/>
    <w:rsid w:val="00823846"/>
    <w:rsid w:val="008A7CC7"/>
    <w:rsid w:val="00903CD4"/>
    <w:rsid w:val="009D5F75"/>
    <w:rsid w:val="00A07721"/>
    <w:rsid w:val="00A31D8C"/>
    <w:rsid w:val="00AA21D1"/>
    <w:rsid w:val="00AF11E1"/>
    <w:rsid w:val="00C7122F"/>
    <w:rsid w:val="00D2456A"/>
    <w:rsid w:val="00E55FF2"/>
    <w:rsid w:val="00E961FB"/>
    <w:rsid w:val="00EB45F7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6</cp:revision>
  <cp:lastPrinted>2018-05-07T10:16:00Z</cp:lastPrinted>
  <dcterms:created xsi:type="dcterms:W3CDTF">2020-10-13T08:25:00Z</dcterms:created>
  <dcterms:modified xsi:type="dcterms:W3CDTF">2020-10-22T05:18:00Z</dcterms:modified>
</cp:coreProperties>
</file>